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A3B1" w14:textId="15037D5E" w:rsidR="00FE6032" w:rsidRDefault="00FE6032" w:rsidP="00FE603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Criteria </w:t>
      </w:r>
      <w:r w:rsidR="00E805C3">
        <w:rPr>
          <w:b/>
          <w:bCs/>
          <w:i/>
          <w:iCs/>
          <w:sz w:val="24"/>
          <w:szCs w:val="24"/>
        </w:rPr>
        <w:t>4.1.1</w:t>
      </w:r>
    </w:p>
    <w:p w14:paraId="0E5E07AC" w14:textId="7CCE5263" w:rsidR="00E805C3" w:rsidRPr="00C02F8F" w:rsidRDefault="00E805C3" w:rsidP="00E805C3">
      <w:pPr>
        <w:rPr>
          <w:b/>
          <w:bCs/>
          <w:i/>
          <w:iCs/>
          <w:sz w:val="24"/>
          <w:szCs w:val="24"/>
        </w:rPr>
      </w:pPr>
      <w:r w:rsidRPr="00C02F8F">
        <w:rPr>
          <w:b/>
          <w:bCs/>
          <w:i/>
          <w:iCs/>
          <w:sz w:val="24"/>
          <w:szCs w:val="24"/>
        </w:rPr>
        <w:t>The Institution has adequate infrastructure and physical facilities for teaching – learning, viz., classrooms, laboratories, computing equipment, etc.</w:t>
      </w:r>
    </w:p>
    <w:p w14:paraId="485914C5" w14:textId="77777777" w:rsidR="00E805C3" w:rsidRDefault="00E805C3" w:rsidP="00E805C3">
      <w:pPr>
        <w:ind w:left="100" w:right="10"/>
        <w:jc w:val="both"/>
        <w:rPr>
          <w:bCs/>
          <w:color w:val="000000"/>
          <w:sz w:val="22"/>
          <w:szCs w:val="24"/>
          <w:lang w:bidi="en-US"/>
        </w:rPr>
      </w:pPr>
    </w:p>
    <w:p w14:paraId="2251D865" w14:textId="4A801D20" w:rsidR="00E805C3" w:rsidRDefault="00E805C3" w:rsidP="00FE6032">
      <w:pPr>
        <w:ind w:right="10"/>
        <w:jc w:val="both"/>
        <w:rPr>
          <w:bCs/>
          <w:color w:val="000000"/>
          <w:sz w:val="22"/>
          <w:szCs w:val="24"/>
          <w:lang w:bidi="en-US"/>
        </w:rPr>
      </w:pPr>
      <w:r w:rsidRPr="009F02BB">
        <w:rPr>
          <w:bCs/>
          <w:color w:val="000000"/>
          <w:sz w:val="22"/>
          <w:szCs w:val="24"/>
          <w:lang w:bidi="en-US"/>
        </w:rPr>
        <w:t xml:space="preserve">IMI Bhubaneswar has a </w:t>
      </w:r>
      <w:r w:rsidRPr="00756707">
        <w:rPr>
          <w:b/>
          <w:color w:val="000000"/>
          <w:sz w:val="22"/>
          <w:szCs w:val="24"/>
          <w:lang w:bidi="en-US"/>
        </w:rPr>
        <w:t>world class sprawling, fully residential campus spread over 1</w:t>
      </w:r>
      <w:r w:rsidR="00E0052B" w:rsidRPr="00756707">
        <w:rPr>
          <w:b/>
          <w:color w:val="000000"/>
          <w:sz w:val="22"/>
          <w:szCs w:val="24"/>
          <w:lang w:bidi="en-US"/>
        </w:rPr>
        <w:t>6</w:t>
      </w:r>
      <w:r w:rsidRPr="00756707">
        <w:rPr>
          <w:b/>
          <w:color w:val="000000"/>
          <w:sz w:val="22"/>
          <w:szCs w:val="24"/>
          <w:lang w:bidi="en-US"/>
        </w:rPr>
        <w:t xml:space="preserve"> acres</w:t>
      </w:r>
      <w:r w:rsidRPr="009F02BB">
        <w:rPr>
          <w:bCs/>
          <w:color w:val="000000"/>
          <w:sz w:val="22"/>
          <w:szCs w:val="24"/>
          <w:lang w:bidi="en-US"/>
        </w:rPr>
        <w:t>. The institute is located in the institutional area in Gothapatna, Bhubaneswar</w:t>
      </w:r>
      <w:r w:rsidR="00E0052B">
        <w:rPr>
          <w:bCs/>
          <w:color w:val="000000"/>
          <w:sz w:val="22"/>
          <w:szCs w:val="24"/>
          <w:lang w:bidi="en-US"/>
        </w:rPr>
        <w:t xml:space="preserve"> which is </w:t>
      </w:r>
      <w:r w:rsidRPr="009F02BB">
        <w:rPr>
          <w:bCs/>
          <w:color w:val="000000"/>
          <w:sz w:val="22"/>
          <w:szCs w:val="24"/>
          <w:lang w:bidi="en-US"/>
        </w:rPr>
        <w:t>well developed in terms of wide roads, access to electricity &amp; water, public transport facilities and other amenities.</w:t>
      </w:r>
      <w:r w:rsidR="00E0052B">
        <w:rPr>
          <w:bCs/>
          <w:color w:val="000000"/>
          <w:sz w:val="22"/>
          <w:szCs w:val="24"/>
          <w:lang w:bidi="en-US"/>
        </w:rPr>
        <w:t xml:space="preserve"> </w:t>
      </w:r>
      <w:r w:rsidRPr="009F02BB">
        <w:rPr>
          <w:bCs/>
          <w:color w:val="000000"/>
          <w:sz w:val="22"/>
          <w:szCs w:val="24"/>
          <w:lang w:bidi="en-US"/>
        </w:rPr>
        <w:t xml:space="preserve">The Institute has adequate classrooms to meet curriculum requirements.  The classrooms are well equipped with e-learning facilities including LCD projectors. The Institute has a computer lab to facilitate e-learning. There are many courses which uses specific software and online data for analysis and these courses are taught in the computer lab.  The students utilize the e-learning resources and evaluation of the course ensures students utilizing e-resources for updated analytical learning for achieving programme outcomes. </w:t>
      </w:r>
      <w:r w:rsidR="00A9539C">
        <w:rPr>
          <w:bCs/>
          <w:color w:val="000000"/>
          <w:sz w:val="22"/>
          <w:szCs w:val="24"/>
          <w:lang w:bidi="en-US"/>
        </w:rPr>
        <w:t>All the amenities meet or exceed the minimum specified requirement as laid down by AICTE.</w:t>
      </w:r>
    </w:p>
    <w:p w14:paraId="7E8474BA" w14:textId="3A7EEE1E" w:rsidR="00E0052B" w:rsidRDefault="00E0052B" w:rsidP="00E805C3">
      <w:pPr>
        <w:ind w:left="100" w:right="10"/>
        <w:jc w:val="both"/>
        <w:rPr>
          <w:bCs/>
          <w:color w:val="000000"/>
          <w:sz w:val="22"/>
          <w:szCs w:val="24"/>
          <w:lang w:bidi="en-US"/>
        </w:rPr>
      </w:pPr>
    </w:p>
    <w:p w14:paraId="0D7AA396" w14:textId="54C00D1A" w:rsidR="00756707" w:rsidRDefault="00E0052B" w:rsidP="00756707">
      <w:pPr>
        <w:jc w:val="both"/>
        <w:rPr>
          <w:sz w:val="22"/>
          <w:szCs w:val="22"/>
        </w:rPr>
      </w:pPr>
      <w:r w:rsidRPr="00FE6032">
        <w:rPr>
          <w:bCs/>
          <w:color w:val="000000"/>
          <w:sz w:val="22"/>
          <w:szCs w:val="24"/>
          <w:lang w:bidi="en-US"/>
        </w:rPr>
        <w:t xml:space="preserve">The institute has a total of </w:t>
      </w:r>
      <w:r w:rsidRPr="00756707">
        <w:rPr>
          <w:b/>
          <w:color w:val="000000"/>
          <w:sz w:val="22"/>
          <w:szCs w:val="24"/>
          <w:lang w:bidi="en-US"/>
        </w:rPr>
        <w:t>7 classrooms</w:t>
      </w:r>
      <w:r w:rsidR="00FE6032" w:rsidRPr="00756707">
        <w:rPr>
          <w:b/>
          <w:color w:val="000000"/>
          <w:sz w:val="22"/>
          <w:szCs w:val="24"/>
          <w:lang w:bidi="en-US"/>
        </w:rPr>
        <w:t xml:space="preserve"> with a combined seating capacity of 340</w:t>
      </w:r>
      <w:r w:rsidR="00FE6032">
        <w:rPr>
          <w:bCs/>
          <w:color w:val="000000"/>
          <w:sz w:val="22"/>
          <w:szCs w:val="24"/>
          <w:lang w:bidi="en-US"/>
        </w:rPr>
        <w:t xml:space="preserve"> and </w:t>
      </w:r>
      <w:r w:rsidR="00FE6032" w:rsidRPr="00756707">
        <w:rPr>
          <w:b/>
          <w:color w:val="000000"/>
          <w:sz w:val="22"/>
          <w:szCs w:val="24"/>
          <w:lang w:bidi="en-US"/>
        </w:rPr>
        <w:t>Two computer labs with a combined seating capacity of 111 students</w:t>
      </w:r>
      <w:r w:rsidR="00FE6032">
        <w:rPr>
          <w:bCs/>
          <w:color w:val="000000"/>
          <w:sz w:val="22"/>
          <w:szCs w:val="24"/>
          <w:lang w:bidi="en-US"/>
        </w:rPr>
        <w:t xml:space="preserve">. The computer labs are equipped with desktops for individual students. Besides these the Institute has two auditoriums (combined seating capacity 420) and one video conferencing room along with a tutorial room. </w:t>
      </w:r>
      <w:r w:rsidR="00756707">
        <w:rPr>
          <w:sz w:val="22"/>
          <w:szCs w:val="22"/>
        </w:rPr>
        <w:t xml:space="preserve">The Institute also has a </w:t>
      </w:r>
      <w:r w:rsidR="00756707" w:rsidRPr="00756707">
        <w:rPr>
          <w:sz w:val="22"/>
          <w:szCs w:val="22"/>
        </w:rPr>
        <w:t xml:space="preserve">fully equipped Boardroom which </w:t>
      </w:r>
      <w:r w:rsidR="00756707">
        <w:rPr>
          <w:sz w:val="22"/>
          <w:szCs w:val="22"/>
        </w:rPr>
        <w:t xml:space="preserve">is also used as </w:t>
      </w:r>
      <w:r w:rsidR="00756707" w:rsidRPr="00756707">
        <w:rPr>
          <w:sz w:val="22"/>
          <w:szCs w:val="22"/>
        </w:rPr>
        <w:t>video conferencing room or</w:t>
      </w:r>
      <w:r w:rsidR="00756707">
        <w:rPr>
          <w:sz w:val="22"/>
          <w:szCs w:val="22"/>
        </w:rPr>
        <w:t xml:space="preserve"> as classroom in the case of need. Bloomberg Terminals, Language Lab, SAP Lab etc. are also available for the use of the students. </w:t>
      </w:r>
      <w:r w:rsidR="00AA06DF">
        <w:rPr>
          <w:sz w:val="22"/>
          <w:szCs w:val="22"/>
        </w:rPr>
        <w:t xml:space="preserve">Besides the indoor facilities, students have access to Amphitheatre which is also used for open air class delivery. </w:t>
      </w:r>
    </w:p>
    <w:p w14:paraId="6C50EF60" w14:textId="278D0D28" w:rsidR="00756707" w:rsidRDefault="00756707" w:rsidP="00756707">
      <w:pPr>
        <w:jc w:val="both"/>
        <w:rPr>
          <w:sz w:val="22"/>
          <w:szCs w:val="22"/>
        </w:rPr>
      </w:pPr>
    </w:p>
    <w:p w14:paraId="3281DA21" w14:textId="22B14F07" w:rsidR="00E0052B" w:rsidRPr="00AA06DF" w:rsidRDefault="00AA06DF" w:rsidP="007567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the rooms have </w:t>
      </w:r>
      <w:r>
        <w:rPr>
          <w:color w:val="000000"/>
          <w:sz w:val="22"/>
          <w:szCs w:val="22"/>
        </w:rPr>
        <w:t>w</w:t>
      </w:r>
      <w:r w:rsidRPr="009F02BB">
        <w:rPr>
          <w:color w:val="000000"/>
          <w:sz w:val="22"/>
          <w:szCs w:val="22"/>
        </w:rPr>
        <w:t>hiteboard</w:t>
      </w:r>
      <w:r>
        <w:rPr>
          <w:color w:val="000000"/>
          <w:sz w:val="22"/>
          <w:szCs w:val="22"/>
        </w:rPr>
        <w:t>s</w:t>
      </w:r>
      <w:r w:rsidRPr="009F02BB">
        <w:rPr>
          <w:color w:val="000000"/>
          <w:sz w:val="22"/>
          <w:szCs w:val="22"/>
        </w:rPr>
        <w:t>; LCD Projector; Audio-Visual Systems; Computer</w:t>
      </w:r>
      <w:r>
        <w:rPr>
          <w:color w:val="000000"/>
          <w:sz w:val="22"/>
          <w:szCs w:val="22"/>
        </w:rPr>
        <w:t>s</w:t>
      </w:r>
      <w:r w:rsidRPr="009F02BB">
        <w:rPr>
          <w:color w:val="000000"/>
          <w:sz w:val="22"/>
          <w:szCs w:val="22"/>
        </w:rPr>
        <w:t xml:space="preserve"> with internet Connection; Access to LAN; A/C; Charging Points for Laptops; </w:t>
      </w:r>
      <w:r>
        <w:rPr>
          <w:color w:val="000000"/>
          <w:sz w:val="22"/>
          <w:szCs w:val="22"/>
        </w:rPr>
        <w:t>etc. All the rooms are aesthetically designed with provision for acoustic boards for better sound clarity. Two of the rooms are also equipped with smart TV facilities.</w:t>
      </w:r>
      <w:r>
        <w:rPr>
          <w:sz w:val="22"/>
          <w:szCs w:val="22"/>
        </w:rPr>
        <w:t xml:space="preserve"> </w:t>
      </w:r>
      <w:r w:rsidR="00FE6032">
        <w:rPr>
          <w:bCs/>
          <w:color w:val="000000"/>
          <w:sz w:val="22"/>
          <w:szCs w:val="24"/>
          <w:lang w:bidi="en-US"/>
        </w:rPr>
        <w:t>The details of the infrastructure are given below:</w:t>
      </w:r>
    </w:p>
    <w:p w14:paraId="1E74C4DD" w14:textId="39C8B718" w:rsidR="00E805C3" w:rsidRPr="00716462" w:rsidRDefault="00E805C3" w:rsidP="00E805C3">
      <w:pPr>
        <w:spacing w:line="345" w:lineRule="auto"/>
        <w:ind w:left="100" w:right="100"/>
        <w:jc w:val="center"/>
        <w:rPr>
          <w:b/>
          <w:bCs/>
          <w:color w:val="000000"/>
          <w:sz w:val="24"/>
          <w:szCs w:val="24"/>
          <w:u w:val="single"/>
          <w:lang w:bidi="en-US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802"/>
        <w:gridCol w:w="1571"/>
        <w:gridCol w:w="3554"/>
      </w:tblGrid>
      <w:tr w:rsidR="00AA06DF" w:rsidRPr="009F02BB" w14:paraId="02CB6F00" w14:textId="77777777" w:rsidTr="00AA06DF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14:paraId="00B1065D" w14:textId="4FC2E327" w:rsidR="00AA06DF" w:rsidRPr="009F02BB" w:rsidRDefault="00AA06DF" w:rsidP="00E70A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Infrastructure </w:t>
            </w:r>
          </w:p>
        </w:tc>
        <w:tc>
          <w:tcPr>
            <w:tcW w:w="802" w:type="dxa"/>
          </w:tcPr>
          <w:p w14:paraId="7797ED3A" w14:textId="1136D067" w:rsidR="00AA06DF" w:rsidRPr="009F02BB" w:rsidRDefault="00AA06DF" w:rsidP="00E70A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Nos 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14:paraId="224DDA7B" w14:textId="588B6B15" w:rsidR="00AA06DF" w:rsidRPr="009F02BB" w:rsidRDefault="00AA06DF" w:rsidP="00E70AA2">
            <w:pPr>
              <w:rPr>
                <w:b/>
                <w:color w:val="000000"/>
                <w:sz w:val="22"/>
                <w:szCs w:val="22"/>
              </w:rPr>
            </w:pPr>
            <w:r w:rsidRPr="009F02BB">
              <w:rPr>
                <w:b/>
                <w:color w:val="000000"/>
                <w:sz w:val="22"/>
                <w:szCs w:val="22"/>
              </w:rPr>
              <w:t>Seating Capacity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14:paraId="243E3D89" w14:textId="77777777" w:rsidR="00AA06DF" w:rsidRPr="009F02BB" w:rsidRDefault="00AA06DF" w:rsidP="00E70AA2">
            <w:pPr>
              <w:rPr>
                <w:b/>
                <w:color w:val="000000"/>
                <w:sz w:val="22"/>
                <w:szCs w:val="22"/>
              </w:rPr>
            </w:pPr>
            <w:r w:rsidRPr="009F02BB">
              <w:rPr>
                <w:b/>
                <w:color w:val="000000"/>
                <w:sz w:val="22"/>
                <w:szCs w:val="22"/>
              </w:rPr>
              <w:t>Remarks</w:t>
            </w:r>
          </w:p>
        </w:tc>
      </w:tr>
      <w:tr w:rsidR="00AA06DF" w:rsidRPr="009F02BB" w14:paraId="0FB84FF8" w14:textId="77777777" w:rsidTr="00AA06DF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14:paraId="55AFB992" w14:textId="013D2A0F" w:rsidR="00AA06DF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Large Classrooms (CR1, CR2, CR5)</w:t>
            </w:r>
          </w:p>
          <w:p w14:paraId="516E1400" w14:textId="4C1B7DA3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14:paraId="0B084DA2" w14:textId="1F754F8E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14:paraId="070220A8" w14:textId="486320EB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 xml:space="preserve"> + 72 + 80</w:t>
            </w:r>
          </w:p>
        </w:tc>
        <w:tc>
          <w:tcPr>
            <w:tcW w:w="3554" w:type="dxa"/>
            <w:shd w:val="clear" w:color="auto" w:fill="auto"/>
            <w:noWrap/>
          </w:tcPr>
          <w:p w14:paraId="07B040F3" w14:textId="77777777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All core courses are delivered here</w:t>
            </w:r>
          </w:p>
        </w:tc>
      </w:tr>
      <w:tr w:rsidR="00AA06DF" w:rsidRPr="009F02BB" w14:paraId="36907CF0" w14:textId="77777777" w:rsidTr="00AA06DF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14:paraId="0B5BE3AD" w14:textId="42A5D3AB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Small Classrooms (CR3, CR4, CR6 and CR7)</w:t>
            </w:r>
          </w:p>
        </w:tc>
        <w:tc>
          <w:tcPr>
            <w:tcW w:w="802" w:type="dxa"/>
          </w:tcPr>
          <w:p w14:paraId="3059F7C3" w14:textId="18C0A4BE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14:paraId="5F3A2363" w14:textId="7ED06DDD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+ 32 + 40+20</w:t>
            </w:r>
          </w:p>
        </w:tc>
        <w:tc>
          <w:tcPr>
            <w:tcW w:w="3554" w:type="dxa"/>
            <w:shd w:val="clear" w:color="auto" w:fill="auto"/>
            <w:noWrap/>
          </w:tcPr>
          <w:p w14:paraId="6429E704" w14:textId="55D40479" w:rsidR="00AA06DF" w:rsidRPr="009F02BB" w:rsidRDefault="00AA06DF" w:rsidP="00AA06DF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Elective courses are delivered here;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02BB">
              <w:rPr>
                <w:color w:val="000000"/>
                <w:sz w:val="22"/>
                <w:szCs w:val="22"/>
              </w:rPr>
              <w:t>Used as a tutorial room also</w:t>
            </w:r>
          </w:p>
        </w:tc>
      </w:tr>
      <w:tr w:rsidR="00AA06DF" w:rsidRPr="009F02BB" w14:paraId="62B7CBA6" w14:textId="77777777" w:rsidTr="00AA06DF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14:paraId="53B1261D" w14:textId="2D6F0F01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Large Computer Lab</w:t>
            </w:r>
          </w:p>
          <w:p w14:paraId="4E100731" w14:textId="77777777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14:paraId="1723A573" w14:textId="189F68DD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14:paraId="57F0C8C7" w14:textId="0A23B6AC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554" w:type="dxa"/>
            <w:shd w:val="clear" w:color="auto" w:fill="auto"/>
            <w:noWrap/>
          </w:tcPr>
          <w:p w14:paraId="5808BFED" w14:textId="77777777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All core courses as well as elective courses are delivered here. All the courses based on e-learning are delivered here</w:t>
            </w:r>
          </w:p>
        </w:tc>
      </w:tr>
      <w:tr w:rsidR="00AA06DF" w:rsidRPr="009F02BB" w14:paraId="59D4F596" w14:textId="77777777" w:rsidTr="00AA06DF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14:paraId="400C965E" w14:textId="265B51AE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Computer Lab Small</w:t>
            </w:r>
          </w:p>
          <w:p w14:paraId="3DF15FAD" w14:textId="77777777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14:paraId="0003EF59" w14:textId="185936D7" w:rsidR="00AA06DF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14:paraId="6FF04D48" w14:textId="4D8EF2C3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54" w:type="dxa"/>
            <w:shd w:val="clear" w:color="auto" w:fill="auto"/>
            <w:noWrap/>
          </w:tcPr>
          <w:p w14:paraId="376932F7" w14:textId="77777777" w:rsidR="00AA06DF" w:rsidRPr="009F02BB" w:rsidRDefault="00AA06DF" w:rsidP="00827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Few</w:t>
            </w:r>
            <w:r w:rsidRPr="009F02BB">
              <w:rPr>
                <w:color w:val="000000"/>
                <w:sz w:val="22"/>
                <w:szCs w:val="22"/>
              </w:rPr>
              <w:t xml:space="preserve"> elective courses are delivered here. All the courses based on e-learning are delivered here</w:t>
            </w:r>
          </w:p>
        </w:tc>
      </w:tr>
      <w:tr w:rsidR="00AA06DF" w:rsidRPr="009F02BB" w14:paraId="6B2D576F" w14:textId="77777777" w:rsidTr="00AA06DF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14:paraId="59DE5CBF" w14:textId="2D715058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Tutorial Room</w:t>
            </w:r>
          </w:p>
        </w:tc>
        <w:tc>
          <w:tcPr>
            <w:tcW w:w="802" w:type="dxa"/>
          </w:tcPr>
          <w:p w14:paraId="095EC6F5" w14:textId="6F23FD55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14:paraId="429902BF" w14:textId="3201C7E7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54" w:type="dxa"/>
            <w:shd w:val="clear" w:color="auto" w:fill="auto"/>
            <w:noWrap/>
          </w:tcPr>
          <w:p w14:paraId="508075A0" w14:textId="77777777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All the tutorials are held here</w:t>
            </w:r>
          </w:p>
        </w:tc>
      </w:tr>
      <w:tr w:rsidR="00AA06DF" w:rsidRPr="009F02BB" w14:paraId="21CBEC0A" w14:textId="77777777" w:rsidTr="00AA06DF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14:paraId="45803522" w14:textId="5BE8C7A1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Video Conferencing </w:t>
            </w:r>
            <w:r w:rsidRPr="009F02BB">
              <w:rPr>
                <w:color w:val="000000"/>
                <w:sz w:val="22"/>
                <w:szCs w:val="22"/>
              </w:rPr>
              <w:t>Room</w:t>
            </w:r>
          </w:p>
        </w:tc>
        <w:tc>
          <w:tcPr>
            <w:tcW w:w="802" w:type="dxa"/>
          </w:tcPr>
          <w:p w14:paraId="613C3335" w14:textId="63BD8396" w:rsidR="00AA06DF" w:rsidRPr="009F02BB" w:rsidRDefault="004D65A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14:paraId="62834446" w14:textId="140364BC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54" w:type="dxa"/>
            <w:shd w:val="clear" w:color="auto" w:fill="auto"/>
            <w:noWrap/>
          </w:tcPr>
          <w:p w14:paraId="54E9A0D5" w14:textId="77777777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Video conferencing is held here.  Also elective courses are delivered here</w:t>
            </w:r>
          </w:p>
        </w:tc>
      </w:tr>
      <w:tr w:rsidR="00AA06DF" w:rsidRPr="009F02BB" w14:paraId="23DE1256" w14:textId="77777777" w:rsidTr="00AA06DF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14:paraId="272AFB40" w14:textId="0C3F45B5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Auditorium</w:t>
            </w:r>
          </w:p>
        </w:tc>
        <w:tc>
          <w:tcPr>
            <w:tcW w:w="802" w:type="dxa"/>
          </w:tcPr>
          <w:p w14:paraId="63FC4731" w14:textId="7261D88A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1" w:type="dxa"/>
            <w:shd w:val="clear" w:color="auto" w:fill="auto"/>
            <w:noWrap/>
          </w:tcPr>
          <w:p w14:paraId="36F581E5" w14:textId="0415D8A7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180</w:t>
            </w:r>
            <w:r>
              <w:rPr>
                <w:color w:val="000000"/>
                <w:sz w:val="22"/>
                <w:szCs w:val="22"/>
              </w:rPr>
              <w:t xml:space="preserve"> + 240</w:t>
            </w:r>
          </w:p>
        </w:tc>
        <w:tc>
          <w:tcPr>
            <w:tcW w:w="3554" w:type="dxa"/>
            <w:shd w:val="clear" w:color="auto" w:fill="auto"/>
            <w:noWrap/>
          </w:tcPr>
          <w:p w14:paraId="1F3087FF" w14:textId="77777777" w:rsidR="00AA06DF" w:rsidRPr="009F02BB" w:rsidRDefault="00AA06DF" w:rsidP="00E70AA2">
            <w:pPr>
              <w:rPr>
                <w:color w:val="000000"/>
                <w:sz w:val="22"/>
                <w:szCs w:val="22"/>
              </w:rPr>
            </w:pPr>
            <w:r w:rsidRPr="009F02BB">
              <w:rPr>
                <w:color w:val="000000"/>
                <w:sz w:val="22"/>
                <w:szCs w:val="22"/>
              </w:rPr>
              <w:t>Guest lectures are delivered in the Auditorium.  Students’ events/activities are conducted here. Exams are conducted here</w:t>
            </w:r>
          </w:p>
        </w:tc>
      </w:tr>
    </w:tbl>
    <w:p w14:paraId="44BC99C2" w14:textId="52BA9D04" w:rsidR="004029B9" w:rsidRPr="00756707" w:rsidRDefault="00EA0199">
      <w:pPr>
        <w:rPr>
          <w:sz w:val="22"/>
          <w:szCs w:val="22"/>
        </w:rPr>
      </w:pPr>
    </w:p>
    <w:sectPr w:rsidR="004029B9" w:rsidRPr="0075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C3"/>
    <w:rsid w:val="00007F2A"/>
    <w:rsid w:val="000A6755"/>
    <w:rsid w:val="00162831"/>
    <w:rsid w:val="003F789E"/>
    <w:rsid w:val="004D65AF"/>
    <w:rsid w:val="00756707"/>
    <w:rsid w:val="008276A2"/>
    <w:rsid w:val="00A9539C"/>
    <w:rsid w:val="00AA06DF"/>
    <w:rsid w:val="00E0052B"/>
    <w:rsid w:val="00E805C3"/>
    <w:rsid w:val="00EA0199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BC51"/>
  <w15:chartTrackingRefBased/>
  <w15:docId w15:val="{957A9C38-4521-4915-AC3A-AD351040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imibh</dc:creator>
  <cp:keywords/>
  <dc:description/>
  <cp:lastModifiedBy>Rohit Vishal Kumar</cp:lastModifiedBy>
  <cp:revision>5</cp:revision>
  <dcterms:created xsi:type="dcterms:W3CDTF">2021-05-24T10:33:00Z</dcterms:created>
  <dcterms:modified xsi:type="dcterms:W3CDTF">2021-07-06T10:31:00Z</dcterms:modified>
</cp:coreProperties>
</file>